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40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Памятка поступающим на лечение в дневной стационар</w:t>
      </w:r>
      <w:r>
        <w:rPr>
          <w:rFonts w:hint="default" w:ascii="Times New Roman" w:hAnsi="Times New Roman" w:eastAsia="Times New Roman" w:cs="Times New Roman"/>
          <w:sz w:val="32"/>
          <w:szCs w:val="32"/>
          <w:lang w:eastAsia="ru-RU"/>
        </w:rPr>
      </w:r>
    </w:p>
    <w:p>
      <w:pPr>
        <w:ind w:left="0" w:firstLine="40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КГБУЗ ККОКБ  им. профессора П.Г. Макарова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Уважаемый пациент!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Вы собираетесь на лечение в условиях нашего отделения дневного пребывания. Ежедневно в течение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3-9 дней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вам будет необходимо приезжать для проведения операции, обследований, процедур в ККОКБ. Просьба о месте проживания в краевом центре позаботится самостоятельно (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больница своей гостиницы не имеет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).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 день госпитализации вас осмотрит лечащий врач, назначит обследования и лечение и ознакомит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Вас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 ними.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Для плановой госпитализации в ООДП Вам необходимо: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1"/>
        </w:numPr>
        <w:ind w:left="0" w:firstLine="455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Пройти полное медицинское обследование в поликлинике по месту жительства согласно рекомендуемому перечню;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"/>
        </w:numPr>
        <w:ind w:left="0" w:firstLine="455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Прибыть на госпитализацию в КГБУЗ ККОКБ имени профессора П.Г.Макарова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в дневной стационар 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по адресу: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улица Никитина 1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u w:val="single"/>
          <w:lang w:val="en-US" w:eastAsia="ru-RU"/>
        </w:rPr>
        <w:t xml:space="preserve"> «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В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u w:val="single"/>
          <w:lang w:val="en-US" w:eastAsia="ru-RU"/>
        </w:rPr>
        <w:t xml:space="preserve">»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 5 этаж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  через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ВХОД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ru-RU"/>
        </w:rPr>
        <w:t xml:space="preserve">№ 7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(центральный вход) 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u w:val="single"/>
          <w:lang w:eastAsia="ru-RU"/>
        </w:rPr>
        <w:t xml:space="preserve">не ранее, чем за 15 минут до времени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, указанного в направлении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ind w:left="0" w:firstLine="40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В ДЕНЬ ГОСПИТАЛИЗАЦИИ ПРИ СЕБЕ ИМЕТЬ: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ind w:left="0" w:firstLine="30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220" w:leader="none"/>
          <w:tab w:val="clear" w:pos="425" w:leader="none"/>
        </w:tabs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Паспорт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numPr>
          <w:ilvl w:val="0"/>
          <w:numId w:val="2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Полис обязательного медицинского страхования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numPr>
          <w:ilvl w:val="0"/>
          <w:numId w:val="2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СНИЛС (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можно копию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numPr>
          <w:ilvl w:val="0"/>
          <w:numId w:val="2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Направление на госпитализацию по форме № 057у-04 с указанными датой и временем госпитализации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  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Результаты медицинских обследований и анализов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40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В ДЕНЬ ОПЕРАЦИИ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 xml:space="preserve">: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Явка в отделение на оперативное лечение за 10 минут до назначенного врачом времени, при себе иметь сменную одежду (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Х/Б халат, Х/Б сорочка или домашний костюм, трико, футболка, носки, тапочки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r>
    </w:p>
    <w:p>
      <w:pPr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Утром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не кушайте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, примите лекарства, которые принимаете постоянно по назначению врача, можно выпить воду не более 250 мл.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40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ПЕРЕЧЕНЬ НЕОБХОДИМЫХ ИССЛЕДОВАНИЙ ДЛЯ ОПЕРАТИВНОГО ЛЕЧЕНИЯ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(КАТАРАКТА, ГЛАУКОМА, КОСОГЛАЗИЕ):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3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1 года: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4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флюорография (рентгеноскопия) органов грудной клетки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0"/>
        </w:numPr>
        <w:ind w:left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2.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3-х месяцев: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5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 анализа крови на гепатиты В и С: Нbs-АГ, АНТИ-ВГС. При (+) результатах необходимо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заключение врача инфекциониста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5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 анализа крови на ВИЧ (по показаниям)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72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3.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1 месяца: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6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 анализа крови на RW (реакция Вассермана)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6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электрокардиограмма (описание)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6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рентгенография придаточных пазух носа, описание, заключение ЛОР-врача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6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заключение стоматолога о санации полости рта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0"/>
        </w:numPr>
        <w:ind w:left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0"/>
        </w:numPr>
        <w:ind w:left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4.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15 дней: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7"/>
        </w:numPr>
        <w:ind w:left="0" w:firstLine="436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развернутый анализ крови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7"/>
        </w:numPr>
        <w:ind w:left="0" w:firstLine="436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анализ крови на сахар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7"/>
        </w:numPr>
        <w:ind w:left="0" w:firstLine="436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заключение терапевта об отсутствии противопоказаний к глазной операции (с учетом АД, результатов всех анализов, ЭКГ, R-графии и др.)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Заключение по показаниям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: эндокринолога (план ведения пациента до и после операции), кардиолога, аллерголога (в т.ч., при непереносимости более двух препаратов), невролога, пульмонолога, онколога.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left="0" w:firstLine="0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ПЕРЕЧЕНЬ НЕОБХОДИМЫХ ИССЛЕДОВАНИЙ ДЛЯ ПОДГОТОВКИ ПАЦИЕНТА К ОПЕРАЦИИ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  <w:t xml:space="preserve">ПРИ ХАЛЯЗИОНАХ, ЗАБОЛЕВАНИЯХ ВЕК (НОВООБРАЗОВАНИЯ, НАРУШЕНИЕ РОСТА РЕСНИЦ И Т.Д.)</w:t>
      </w:r>
      <w:r>
        <w:rPr>
          <w:rFonts w:hint="default" w:ascii="Times New Roman" w:hAnsi="Times New Roman" w:eastAsia="Times New Roman" w:cs="Times New Roman"/>
          <w:b/>
          <w:bCs/>
          <w:sz w:val="32"/>
          <w:szCs w:val="32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8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1 года: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9"/>
        </w:numPr>
        <w:ind w:left="0" w:firstLine="46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флюорография (рентгеноскопия) органов грудной клетки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0"/>
        </w:numPr>
        <w:ind w:left="46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8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3-х месяцев: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0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 анализа крови на гепатиты В и С: Нbs-АГ, АНТИ-ВГС. При (+) результатах необходимо заключение врача инфекциониста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0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 анализа крови на ВИЧ (по показаниям)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0"/>
        </w:numPr>
        <w:ind w:left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1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1 месяца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результат анализа крови на RW (реакция Вассермана)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электрокардиограмма (описание)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0"/>
        </w:numPr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 w:firstLine="44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5" w:leader="none"/>
          <w:tab w:val="left" w:pos="660" w:leader="none"/>
        </w:tabs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Давностью не более 15 дней: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numPr>
          <w:ilvl w:val="0"/>
          <w:numId w:val="14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развернутый анализ крови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4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анализ крови на сахар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4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заключение терапевта об отсутствии противопоказаний к глазной операции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4"/>
        </w:numPr>
        <w:ind w:left="0" w:firstLine="439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tabs>
          <w:tab w:val="clear" w:pos="420" w:leader="none"/>
          <w:tab w:val="left" w:pos="660" w:leader="none"/>
        </w:tabs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(с учетом АД, результатов всех анализов, ЭКГ, R-графии и др.)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708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«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ПОЯВЛЕНИИ КАТАРАЛЬНЫХ ЯВЛЕНИЙ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»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eastAsia="ru-RU"/>
        </w:rPr>
        <w:t xml:space="preserve">кашля, першения в горле, насморка, высыпания на коже губ, повышении температуры тела) перед госпитализацией вам нужно обратиться в поликлинику по месту жительства для лечения и переносе даты госпитализации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.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8"/>
        <w:jc w:val="center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36"/>
          <w:szCs w:val="36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При признаках респираторного заболевания госпитализация не состоится.</w:t>
      </w:r>
      <w:r>
        <w:rPr>
          <w:rFonts w:hint="default" w:ascii="Times New Roman" w:hAnsi="Times New Roman" w:eastAsia="Times New Roman" w:cs="Times New Roman"/>
          <w:sz w:val="36"/>
          <w:szCs w:val="36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bookmarkStart w:id="0" w:name="_GoBack"/>
      <w:r/>
      <w:bookmarkEnd w:id="0"/>
      <w:r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300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left="0" w:firstLine="275"/>
        <w:jc w:val="both"/>
        <w:keepLines w:val="0"/>
        <w:keepNext w:val="0"/>
        <w:pageBreakBefore w:val="0"/>
        <w:spacing w:beforeAutospacing="0" w:after="0" w:afterAutospacing="0" w:line="240" w:lineRule="auto"/>
        <w:widowControl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</w:r>
      <w:r>
        <w:rPr>
          <w:rFonts w:hint="default"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" w:hanging="425"/>
        <w:tabs>
          <w:tab w:val="left" w:pos="425" w:leader="none"/>
        </w:tabs>
      </w:pPr>
      <w:rPr>
        <w:rFonts w:hint="default" w:ascii="Times New Roman" w:hAnsi="Times New Roman" w:cs="Times New Roman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5" w:hanging="425"/>
        <w:tabs>
          <w:tab w:val="left" w:pos="425" w:leader="none"/>
        </w:tabs>
      </w:pPr>
      <w:rPr>
        <w:rFonts w:hint="default" w:ascii="Times New Roman" w:hAnsi="Times New Roman" w:cs="Times New Roman"/>
        <w:b/>
        <w:bCs/>
        <w:sz w:val="21"/>
        <w:szCs w:val="2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/>
      <w:rPr>
        <w:rFonts w:hint="default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25" w:hanging="425"/>
        <w:tabs>
          <w:tab w:val="left" w:pos="42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" w:hanging="425"/>
        <w:tabs>
          <w:tab w:val="left" w:pos="425" w:leader="none"/>
        </w:tabs>
      </w:pPr>
      <w:rPr>
        <w:rFonts w:hint="default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3"/>
        <w:szCs w:val="13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/>
      <w:rPr>
        <w:rFonts w:hint="default"/>
        <w:b/>
        <w:bCs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"/>
      <w:lvlJc w:val="left"/>
      <w:pPr>
        <w:ind w:left="420" w:hanging="420"/>
        <w:tabs>
          <w:tab w:val="left" w:pos="420" w:leader="none"/>
        </w:tabs>
      </w:pPr>
      <w:rPr>
        <w:rFonts w:hint="default" w:ascii="Wingdings" w:hAnsi="Wingdings"/>
        <w:sz w:val="11"/>
        <w:szCs w:val="11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2"/>
    <w:next w:val="68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2"/>
    <w:next w:val="68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2"/>
    <w:next w:val="68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2"/>
    <w:next w:val="68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3"/>
    <w:link w:val="34"/>
    <w:uiPriority w:val="10"/>
    <w:rPr>
      <w:sz w:val="48"/>
      <w:szCs w:val="48"/>
    </w:rPr>
  </w:style>
  <w:style w:type="paragraph" w:styleId="36">
    <w:name w:val="Subtitle"/>
    <w:basedOn w:val="682"/>
    <w:next w:val="68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3"/>
    <w:link w:val="36"/>
    <w:uiPriority w:val="11"/>
    <w:rPr>
      <w:sz w:val="24"/>
      <w:szCs w:val="24"/>
    </w:rPr>
  </w:style>
  <w:style w:type="paragraph" w:styleId="38">
    <w:name w:val="Quote"/>
    <w:basedOn w:val="682"/>
    <w:next w:val="68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2"/>
    <w:next w:val="68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83"/>
    <w:link w:val="42"/>
    <w:uiPriority w:val="99"/>
  </w:style>
  <w:style w:type="paragraph" w:styleId="44">
    <w:name w:val="Footer"/>
    <w:basedOn w:val="68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83"/>
    <w:link w:val="44"/>
    <w:uiPriority w:val="99"/>
  </w:style>
  <w:style w:type="paragraph" w:styleId="4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3"/>
    <w:uiPriority w:val="99"/>
    <w:unhideWhenUsed/>
    <w:rPr>
      <w:vertAlign w:val="superscript"/>
    </w:rPr>
  </w:style>
  <w:style w:type="paragraph" w:styleId="178">
    <w:name w:val="endnote text"/>
    <w:basedOn w:val="68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3"/>
    <w:uiPriority w:val="99"/>
    <w:semiHidden/>
    <w:unhideWhenUsed/>
    <w:rPr>
      <w:vertAlign w:val="superscript"/>
    </w:rPr>
  </w:style>
  <w:style w:type="paragraph" w:styleId="181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uiPriority w:val="0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styleId="683" w:default="1">
    <w:name w:val="Default Paragraph Font"/>
    <w:uiPriority w:val="1"/>
    <w:semiHidden/>
    <w:unhideWhenUsed/>
    <w:qFormat/>
  </w:style>
  <w:style w:type="table" w:styleId="684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85">
    <w:name w:val="Strong"/>
    <w:basedOn w:val="683"/>
    <w:uiPriority w:val="22"/>
    <w:qFormat/>
    <w:rPr>
      <w:b/>
      <w:bCs/>
    </w:rPr>
  </w:style>
  <w:style w:type="paragraph" w:styleId="686">
    <w:name w:val="Normal (Web)"/>
    <w:basedOn w:val="682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12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revision>2</cp:revision>
  <dcterms:created xsi:type="dcterms:W3CDTF">2023-07-20T12:38:00Z</dcterms:created>
  <dcterms:modified xsi:type="dcterms:W3CDTF">2023-11-27T02:34:25Z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